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412FAE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hy-AM"/>
        </w:rPr>
        <w:t>7</w:t>
      </w:r>
      <w:r w:rsidR="00D30146">
        <w:rPr>
          <w:rFonts w:ascii="Sylfaen" w:hAnsi="Sylfaen"/>
          <w:b/>
          <w:szCs w:val="24"/>
        </w:rPr>
        <w:t>.0</w:t>
      </w:r>
      <w:r w:rsidR="00D30146" w:rsidRPr="00683084">
        <w:rPr>
          <w:rFonts w:ascii="Sylfaen" w:hAnsi="Sylfaen"/>
          <w:b/>
          <w:szCs w:val="24"/>
        </w:rPr>
        <w:t>5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ФВХ-ОРОИ-ПУ-2020/2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ФВХ-ОРОИ-ПУ-2020/2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586AF2" w:rsidRPr="00730A89">
        <w:rPr>
          <w:rFonts w:ascii="Sylfaen" w:hAnsi="Sylfaen"/>
          <w:b/>
          <w:sz w:val="20"/>
          <w:szCs w:val="22"/>
        </w:rPr>
        <w:t>услуг</w:t>
      </w:r>
      <w:r w:rsidR="00D30146" w:rsidRPr="00730A89">
        <w:rPr>
          <w:rFonts w:ascii="Sylfaen" w:hAnsi="Sylfaen"/>
          <w:b/>
          <w:sz w:val="20"/>
          <w:szCs w:val="22"/>
        </w:rPr>
        <w:t xml:space="preserve"> 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программного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обеспечения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bookmarkStart w:id="0" w:name="_GoBack"/>
      <w:bookmarkEnd w:id="0"/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586AF2" w:rsidRPr="00730A89">
        <w:rPr>
          <w:rFonts w:ascii="Sylfaen" w:hAnsi="Sylfaen"/>
          <w:b/>
          <w:sz w:val="20"/>
          <w:szCs w:val="22"/>
        </w:rPr>
        <w:t xml:space="preserve">услуги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программного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обеспечения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Pr="00A1650F" w:rsidRDefault="00D30146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программного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обеспечения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A1650F" w:rsidRDefault="00D30146" w:rsidP="00586AF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>ООО УАН СОФТ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30146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D30146" w:rsidRPr="00A1650F" w:rsidRDefault="00D30146" w:rsidP="0015443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программного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обеспечения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30146" w:rsidRPr="00A1650F" w:rsidRDefault="00D30146" w:rsidP="0015443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>ООО УАН СОФТ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D30146" w:rsidRPr="00B13825" w:rsidRDefault="00D30146" w:rsidP="00154431">
            <w:pPr>
              <w:tabs>
                <w:tab w:val="left" w:pos="840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333</w:t>
            </w:r>
            <w:r>
              <w:rPr>
                <w:rFonts w:ascii="GHEA Grapalat" w:hAnsi="GHEA Grapalat"/>
                <w:sz w:val="20"/>
              </w:rPr>
              <w:t>.333</w:t>
            </w:r>
          </w:p>
        </w:tc>
      </w:tr>
    </w:tbl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ФВХ-ОРОИ-ПУ-2020/2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+060-501-560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A8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40</cp:revision>
  <cp:lastPrinted>2012-06-13T06:43:00Z</cp:lastPrinted>
  <dcterms:created xsi:type="dcterms:W3CDTF">2018-08-08T07:12:00Z</dcterms:created>
  <dcterms:modified xsi:type="dcterms:W3CDTF">2020-05-07T13:52:00Z</dcterms:modified>
</cp:coreProperties>
</file>